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合同(两方)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较通用的采购、订购、订货单，相当于比较简单但有效的买卖合同。</w:t>
      </w: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订购单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  <w:r>
        <w:br w:type="textWrapping"/>
      </w:r>
      <w:r>
        <w:br w:type="textWrapping"/>
      </w:r>
      <w:r>
        <w:rPr>
          <w:rFonts w:ascii="宋体" w:hAnsi="宋体" w:cs="宋体"/>
          <w:color w:val="000000"/>
          <w:sz w:val="24"/>
          <w:szCs w:val="24"/>
        </w:rPr>
        <w:t>上述各方经平等自愿协商，签订本订购单（以下简称为“本合同”）以共同遵守。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一、货物信息：</w:t>
      </w:r>
    </w:p>
    <w:tbl>
      <w:tblPr>
        <w:tblStyle w:val="3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2561"/>
        <w:gridCol w:w="1359"/>
        <w:gridCol w:w="1359"/>
        <w:gridCol w:w="1359"/>
        <w:gridCol w:w="13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名称/规格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合计：人民币（大写）</w:t>
            </w:r>
            <w:r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  <w:t>       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（￥</w:t>
            </w:r>
            <w:r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  <w:t>   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元）</w:t>
            </w:r>
          </w:p>
          <w:p>
            <w:pPr>
              <w:spacing w:line="24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注：除非有特殊说明，上述价格均为含税价格。</w:t>
            </w:r>
          </w:p>
        </w:tc>
      </w:tr>
    </w:tbl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二、交货时间：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三、交货地点：买方所在地。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四、相关要求：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包装：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质量：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五、运输方式：公路运输。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六、付款时间：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日前支付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%即人民币（大写）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（￥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元）；交货后30日内支付余款。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七、逾期交货的，每逾期一天，应按合同总金额的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%向买方支付违约金。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八、逾期付款的，每逾期一天，应按逾期金额的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%向卖方支付违约金。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九、本合同经双方签署后生效，传真件或扫描件具有同等效力。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十、附则：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1.本合同一式二份，协议各方各执一份。各份协议文本具有同等法律效力。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2.本合同经各方签署后生效。</w:t>
      </w:r>
      <w:r>
        <w:br w:type="textWrapping"/>
      </w:r>
      <w:r>
        <w:br w:type="textWrapping"/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甲方（盖章）：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法定代表人或授权代表（签字）：</w:t>
      </w:r>
      <w:r>
        <w:br w:type="textWrapping"/>
      </w: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乙方（盖章）：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法定代表人或授权代表（签字）：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3AE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2020-05-08T01:41:13Z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